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5E" w:rsidRPr="005A7AD0" w:rsidRDefault="00EC585E" w:rsidP="00EC5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AD0">
        <w:rPr>
          <w:rFonts w:ascii="Times New Roman" w:hAnsi="Times New Roman" w:cs="Times New Roman"/>
          <w:sz w:val="24"/>
          <w:szCs w:val="24"/>
        </w:rPr>
        <w:t xml:space="preserve">До сих пор остается актуальной проблема готовности студентов к переходу на интегрированное обучение с использованием дистанционных технологий. Актуальна не только техническая сторона к переходу на интегрированное обучение, но и другие компоненты готовности студентов к использованию информационно-коммуникационных технологий и дистанционных образовательных технологий в своей образовательной деятельности. </w:t>
      </w:r>
    </w:p>
    <w:p w:rsidR="00EC585E" w:rsidRPr="005A7AD0" w:rsidRDefault="00EC585E" w:rsidP="00EC58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  предъявляет ряд требований к уровню подготовки специалистов, в том числе, готовность к повышению квалификации, к самостоятельному овладению дополнительными знаниями в области профессиональной деятельности, к использованию современных технологических средств и технологий; высокий уровень активности, самостоятельности, готовность к взаимодействию с другими людьми и др. Приоритеты, которые становятся все более очевидными в мировой педагогике, это обучение, учитывающее индивидуальные задатки, способности и возможности студента, а технологический подход должен включать применение передовых педагогических информационных технологий.</w:t>
      </w:r>
    </w:p>
    <w:p w:rsidR="00EC585E" w:rsidRPr="005A7AD0" w:rsidRDefault="00EC585E" w:rsidP="00EC58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Теоретической основой исследования послужили: идеи личностно-ориентированного образования (Е.В.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Бондаревская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И.О.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Загвязинский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Б.С.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Гершунский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C.B.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др.), личностно-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(Б.Г. Ананьев, Л.С. Выготский, В.В. Давыдов, П.Я. Гальперин, А.Н. Леонтьев и др.)  и технологического подхода к организации образовательного процесса (В.П. Беспалько, В.В.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концептуальные основы среднего профессионального образования (В.А.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И.П. Смирнов и др.); идеи теории и практики дистанционного обучения (A.A. Андреев, М.Ю. </w:t>
      </w:r>
      <w:proofErr w:type="spellStart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Бухаркина</w:t>
      </w:r>
      <w:proofErr w:type="spellEnd"/>
      <w:r w:rsidRPr="005A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B.Т. Волов и др.); концепции организации обучения с применением информационно-дидактических средств (А.И. Архипова, C.П. Грушевский, И.В. Роберт и др.).</w:t>
      </w:r>
    </w:p>
    <w:p w:rsidR="00EC585E" w:rsidRPr="005A7AD0" w:rsidRDefault="00EC585E" w:rsidP="00EC5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85E">
        <w:rPr>
          <w:rFonts w:ascii="Times New Roman" w:hAnsi="Times New Roman" w:cs="Times New Roman"/>
          <w:color w:val="FF0000"/>
          <w:sz w:val="24"/>
          <w:szCs w:val="24"/>
        </w:rPr>
        <w:t>Определение составлено мною на основе анализа источников выше.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D0">
        <w:rPr>
          <w:rFonts w:ascii="Times New Roman" w:hAnsi="Times New Roman" w:cs="Times New Roman"/>
          <w:sz w:val="24"/>
          <w:szCs w:val="24"/>
        </w:rPr>
        <w:t xml:space="preserve">Под готовностью студентов к интегрированному обучению в логике нашего исследования понимается как психологическая готовность, предполагающая соответствующие образовательные установки и ценностно-смысловое отношение к электронному обучению, владение специальными компетенциями, определяющими эффективность образовательной деятельности в условиях электронного обучения. А именно, готовность студентов представляется совокупностью профессионально значимых знаний, умений и навыков, а также целенаправленным выражением личности, включающей внутренние предпосылки к деятельности. </w:t>
      </w: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01C" w:rsidRDefault="00FC501C" w:rsidP="005A2A4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A4C" w:rsidRPr="005A7AD0" w:rsidRDefault="005A2A4C" w:rsidP="005A2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D0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5A7AD0">
        <w:rPr>
          <w:rFonts w:ascii="Times New Roman" w:hAnsi="Times New Roman" w:cs="Times New Roman"/>
          <w:sz w:val="24"/>
          <w:szCs w:val="24"/>
        </w:rPr>
        <w:t xml:space="preserve">: внедрение системы интеграции традиционного и электронного обучения в образовательный процесс Южно-Уральского государственного колледжа. </w:t>
      </w:r>
    </w:p>
    <w:p w:rsidR="005A2A4C" w:rsidRPr="005A7AD0" w:rsidRDefault="005A2A4C" w:rsidP="005A2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D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 исследования</w:t>
      </w:r>
      <w:r w:rsidRPr="005A7AD0">
        <w:rPr>
          <w:rFonts w:ascii="Times New Roman" w:hAnsi="Times New Roman" w:cs="Times New Roman"/>
          <w:sz w:val="24"/>
          <w:szCs w:val="24"/>
        </w:rPr>
        <w:t xml:space="preserve">: готовность студентов к системе интеграции традиционного и электронного обучения. </w:t>
      </w:r>
    </w:p>
    <w:p w:rsidR="005A2A4C" w:rsidRPr="005A7AD0" w:rsidRDefault="005A2A4C" w:rsidP="005A2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D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A7AD0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7AD0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7AD0">
        <w:rPr>
          <w:rFonts w:ascii="Times New Roman" w:hAnsi="Times New Roman" w:cs="Times New Roman"/>
          <w:sz w:val="24"/>
          <w:szCs w:val="24"/>
        </w:rPr>
        <w:t xml:space="preserve">  готовности студентов технических специальностей СПО к переходу на интегрированную систему обучения.</w:t>
      </w:r>
    </w:p>
    <w:p w:rsidR="00EC585E" w:rsidRPr="005A7AD0" w:rsidRDefault="00EC585E" w:rsidP="00EC58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AD0">
        <w:rPr>
          <w:rFonts w:ascii="Times New Roman" w:hAnsi="Times New Roman" w:cs="Times New Roman"/>
          <w:sz w:val="24"/>
          <w:szCs w:val="24"/>
        </w:rPr>
        <w:t xml:space="preserve">Готовность выступает в виде взаимодействия мотивационно-ценностного, когнитивного, операционально-технического, </w:t>
      </w:r>
      <w:proofErr w:type="spellStart"/>
      <w:r w:rsidRPr="005A7A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A7AD0">
        <w:rPr>
          <w:rFonts w:ascii="Times New Roman" w:hAnsi="Times New Roman" w:cs="Times New Roman"/>
          <w:sz w:val="24"/>
          <w:szCs w:val="24"/>
        </w:rPr>
        <w:t xml:space="preserve"> компонентов, наполненных качественными характеристиками и показателями</w:t>
      </w:r>
      <w:r w:rsidR="005A2A4C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5A7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85E" w:rsidRPr="005A7AD0" w:rsidRDefault="00EC585E" w:rsidP="00EC58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D0">
        <w:rPr>
          <w:rFonts w:ascii="Times New Roman" w:hAnsi="Times New Roman" w:cs="Times New Roman"/>
          <w:i/>
          <w:sz w:val="24"/>
          <w:szCs w:val="24"/>
        </w:rPr>
        <w:t xml:space="preserve">Таблица 1. Диагностический инструментарий </w:t>
      </w:r>
      <w:r w:rsidRPr="005A7A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психолого-педагогической оценки  готовности студентов технических специальностей СПО к переходу на интегрированное обучение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675"/>
        <w:gridCol w:w="2393"/>
        <w:gridCol w:w="4128"/>
        <w:gridCol w:w="2543"/>
      </w:tblGrid>
      <w:tr w:rsidR="00EC585E" w:rsidRPr="005A7AD0" w:rsidTr="00F7249C">
        <w:tc>
          <w:tcPr>
            <w:tcW w:w="67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компонента готовности</w:t>
            </w:r>
          </w:p>
        </w:tc>
        <w:tc>
          <w:tcPr>
            <w:tcW w:w="4128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 компонента готовности</w:t>
            </w:r>
          </w:p>
        </w:tc>
        <w:tc>
          <w:tcPr>
            <w:tcW w:w="2543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анкеты, диагностирующие компонент </w:t>
            </w:r>
          </w:p>
        </w:tc>
      </w:tr>
      <w:tr w:rsidR="00EC585E" w:rsidRPr="005A7AD0" w:rsidTr="00F7249C">
        <w:tc>
          <w:tcPr>
            <w:tcW w:w="67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Организационно-технический </w:t>
            </w:r>
          </w:p>
        </w:tc>
        <w:tc>
          <w:tcPr>
            <w:tcW w:w="4128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Уровень подготовки студентов  к переходу на систему интегрированного обучения</w:t>
            </w:r>
          </w:p>
        </w:tc>
        <w:tc>
          <w:tcPr>
            <w:tcW w:w="2543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C585E" w:rsidRPr="005A7AD0" w:rsidTr="00F7249C">
        <w:tc>
          <w:tcPr>
            <w:tcW w:w="67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</w:tc>
        <w:tc>
          <w:tcPr>
            <w:tcW w:w="4128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Степень осведомленности студентов о том, что такое интегрированное обучение и как оно может быть использовано</w:t>
            </w:r>
          </w:p>
        </w:tc>
        <w:tc>
          <w:tcPr>
            <w:tcW w:w="2543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EC585E" w:rsidRPr="005A7AD0" w:rsidTr="00F7249C">
        <w:tc>
          <w:tcPr>
            <w:tcW w:w="67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Мотивационно-ценностный </w:t>
            </w:r>
          </w:p>
        </w:tc>
        <w:tc>
          <w:tcPr>
            <w:tcW w:w="4128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Субъективное отношение к этому новой форме обучения</w:t>
            </w:r>
          </w:p>
        </w:tc>
        <w:tc>
          <w:tcPr>
            <w:tcW w:w="2543" w:type="dxa"/>
          </w:tcPr>
          <w:p w:rsidR="00EC585E" w:rsidRPr="008429B1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EC585E" w:rsidRPr="005A7AD0" w:rsidTr="00F7249C">
        <w:tc>
          <w:tcPr>
            <w:tcW w:w="67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самостоятельной деятельности</w:t>
            </w:r>
          </w:p>
        </w:tc>
        <w:tc>
          <w:tcPr>
            <w:tcW w:w="2543" w:type="dxa"/>
          </w:tcPr>
          <w:p w:rsidR="00EC585E" w:rsidRPr="008429B1" w:rsidRDefault="00EC585E" w:rsidP="00F7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</w:tr>
    </w:tbl>
    <w:p w:rsidR="00EC585E" w:rsidRPr="005A7AD0" w:rsidRDefault="00EC585E" w:rsidP="00EC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D0">
        <w:rPr>
          <w:rFonts w:ascii="Times New Roman" w:hAnsi="Times New Roman" w:cs="Times New Roman"/>
          <w:sz w:val="24"/>
          <w:szCs w:val="24"/>
        </w:rPr>
        <w:t>П</w:t>
      </w:r>
      <w:r w:rsidRPr="005A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сихолого-педагогическая оценка  готовности студентов технических специальностей СПО к переходу на интегрированное обучение проходит в 2 этапа</w:t>
      </w:r>
      <w:r w:rsidR="005A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(Таблица 2)</w:t>
      </w:r>
      <w:r w:rsidRPr="005A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585E" w:rsidRPr="005A7AD0" w:rsidRDefault="00EC585E" w:rsidP="00EC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7A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Табл. 2. Этапы проведения психолого-педагогической оценки готовности студентов технических специальностей СПО к переходу на интегрированное обучение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2694"/>
      </w:tblGrid>
      <w:tr w:rsidR="00EC585E" w:rsidRPr="005A7AD0" w:rsidTr="00F7249C">
        <w:tc>
          <w:tcPr>
            <w:tcW w:w="534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оценки</w:t>
            </w:r>
          </w:p>
        </w:tc>
        <w:tc>
          <w:tcPr>
            <w:tcW w:w="3543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этапа оценки в общей структуре инновационной деятельности</w:t>
            </w:r>
          </w:p>
        </w:tc>
        <w:tc>
          <w:tcPr>
            <w:tcW w:w="2694" w:type="dxa"/>
          </w:tcPr>
          <w:p w:rsidR="00EC585E" w:rsidRPr="005A7AD0" w:rsidRDefault="00EC585E" w:rsidP="00F7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оценивания</w:t>
            </w:r>
          </w:p>
        </w:tc>
      </w:tr>
      <w:tr w:rsidR="00EC585E" w:rsidRPr="005A7AD0" w:rsidTr="00F7249C">
        <w:tc>
          <w:tcPr>
            <w:tcW w:w="534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54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Перед началом внедрения образовательной модели, способствующей повышению качества подготовки студентов на основе интегрированного обучения</w:t>
            </w:r>
          </w:p>
        </w:tc>
        <w:tc>
          <w:tcPr>
            <w:tcW w:w="2694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Анкета «Изучение готовности студентов технических специальностей СПО к переходу на интегрированную систему обучения»</w:t>
            </w:r>
          </w:p>
        </w:tc>
      </w:tr>
      <w:tr w:rsidR="00EC585E" w:rsidRPr="005A7AD0" w:rsidTr="00F7249C">
        <w:tc>
          <w:tcPr>
            <w:tcW w:w="534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3543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Через 5-6 месяцев после начала внедрения образовательной модели, способствующей повышению качества подготовки студентов на основе интегрированного обучения </w:t>
            </w:r>
          </w:p>
        </w:tc>
        <w:tc>
          <w:tcPr>
            <w:tcW w:w="2694" w:type="dxa"/>
          </w:tcPr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Анкета «Изучение затруднений в процессе перехода на интегрированное обучение»</w:t>
            </w:r>
          </w:p>
          <w:p w:rsidR="00EC585E" w:rsidRPr="005A7AD0" w:rsidRDefault="00EC585E" w:rsidP="00F7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85E" w:rsidRPr="005A7AD0" w:rsidRDefault="005A2A4C" w:rsidP="005A2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данный момент проведен 1 этап исследования на базе Южно-Уральского Государственного колледжа. Исследование проводилось </w:t>
      </w:r>
      <w:r w:rsidR="00EC585E" w:rsidRPr="005A7AD0">
        <w:rPr>
          <w:rFonts w:ascii="Times New Roman" w:hAnsi="Times New Roman" w:cs="Times New Roman"/>
          <w:sz w:val="24"/>
          <w:szCs w:val="24"/>
        </w:rPr>
        <w:t xml:space="preserve">в системе электронного обучения </w:t>
      </w:r>
      <w:r w:rsidR="00EC585E" w:rsidRPr="005A7AD0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585E" w:rsidRPr="005A7AD0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EC585E" w:rsidRPr="005A7AD0">
        <w:rPr>
          <w:rFonts w:ascii="Times New Roman" w:hAnsi="Times New Roman" w:cs="Times New Roman"/>
          <w:sz w:val="24"/>
          <w:szCs w:val="24"/>
        </w:rPr>
        <w:t xml:space="preserve"> анонимная закрытая анкета из </w:t>
      </w:r>
      <w:r w:rsidR="00EC585E" w:rsidRPr="008429B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C585E" w:rsidRPr="005A7AD0">
        <w:rPr>
          <w:rFonts w:ascii="Times New Roman" w:hAnsi="Times New Roman" w:cs="Times New Roman"/>
          <w:sz w:val="24"/>
          <w:szCs w:val="24"/>
        </w:rPr>
        <w:t xml:space="preserve"> вопросов разных типо</w:t>
      </w:r>
      <w:r>
        <w:rPr>
          <w:rFonts w:ascii="Times New Roman" w:hAnsi="Times New Roman" w:cs="Times New Roman"/>
          <w:sz w:val="24"/>
          <w:szCs w:val="24"/>
        </w:rPr>
        <w:t>в (выбор ответа, ранжирование). В анкетировании приняло участие 142 студента.</w:t>
      </w:r>
    </w:p>
    <w:p w:rsidR="00EC585E" w:rsidRPr="005A7AD0" w:rsidRDefault="00EC585E" w:rsidP="00EC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AD0">
        <w:rPr>
          <w:rFonts w:ascii="Times New Roman" w:hAnsi="Times New Roman" w:cs="Times New Roman"/>
          <w:sz w:val="24"/>
          <w:szCs w:val="24"/>
        </w:rPr>
        <w:tab/>
      </w:r>
      <w:r w:rsidRPr="00A37155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r w:rsidR="00A37155" w:rsidRPr="00A37155">
        <w:rPr>
          <w:rFonts w:ascii="Times New Roman" w:hAnsi="Times New Roman" w:cs="Times New Roman"/>
          <w:b/>
          <w:i/>
          <w:sz w:val="24"/>
          <w:szCs w:val="24"/>
        </w:rPr>
        <w:t>исследования</w:t>
      </w:r>
      <w:r w:rsidRPr="00A371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A7AD0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:rsidR="00EC585E" w:rsidRPr="005A7AD0" w:rsidRDefault="00EC585E" w:rsidP="00EC5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155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анкетирования</w:t>
      </w:r>
      <w:r w:rsidRPr="005A7AD0">
        <w:rPr>
          <w:rFonts w:ascii="Times New Roman" w:hAnsi="Times New Roman" w:cs="Times New Roman"/>
          <w:sz w:val="24"/>
          <w:szCs w:val="24"/>
        </w:rPr>
        <w:t xml:space="preserve"> – изучение готовности студентов технических специальностей СПО к переходу на интегрированную систему обучения по показателям, указанным в Табл.1.</w:t>
      </w:r>
    </w:p>
    <w:p w:rsidR="00517954" w:rsidRDefault="00517954" w:rsidP="00EC585E">
      <w:pPr>
        <w:spacing w:after="0"/>
        <w:jc w:val="both"/>
        <w:rPr>
          <w:rFonts w:ascii="Times New Roman" w:hAnsi="Times New Roman" w:cs="Times New Roman"/>
          <w:sz w:val="24"/>
        </w:rPr>
      </w:pPr>
      <w:r>
        <w:tab/>
      </w:r>
      <w:r w:rsidRPr="00517954">
        <w:rPr>
          <w:rFonts w:ascii="Times New Roman" w:hAnsi="Times New Roman" w:cs="Times New Roman"/>
          <w:sz w:val="24"/>
        </w:rPr>
        <w:t xml:space="preserve">С точки зрения </w:t>
      </w:r>
      <w:r w:rsidR="00EC585E">
        <w:rPr>
          <w:rFonts w:ascii="Times New Roman" w:hAnsi="Times New Roman" w:cs="Times New Roman"/>
          <w:sz w:val="24"/>
        </w:rPr>
        <w:t>организационно-</w:t>
      </w:r>
      <w:r w:rsidRPr="00517954">
        <w:rPr>
          <w:rFonts w:ascii="Times New Roman" w:hAnsi="Times New Roman" w:cs="Times New Roman"/>
          <w:sz w:val="24"/>
        </w:rPr>
        <w:t>техническо</w:t>
      </w:r>
      <w:r w:rsidR="00EC585E">
        <w:rPr>
          <w:rFonts w:ascii="Times New Roman" w:hAnsi="Times New Roman" w:cs="Times New Roman"/>
          <w:sz w:val="24"/>
        </w:rPr>
        <w:t>го</w:t>
      </w:r>
      <w:r w:rsidRPr="00517954">
        <w:rPr>
          <w:rFonts w:ascii="Times New Roman" w:hAnsi="Times New Roman" w:cs="Times New Roman"/>
          <w:sz w:val="24"/>
        </w:rPr>
        <w:t xml:space="preserve"> </w:t>
      </w:r>
      <w:r w:rsidR="00EC585E">
        <w:rPr>
          <w:rFonts w:ascii="Times New Roman" w:hAnsi="Times New Roman" w:cs="Times New Roman"/>
          <w:sz w:val="24"/>
        </w:rPr>
        <w:t>компонента</w:t>
      </w:r>
      <w:r w:rsidRPr="00517954">
        <w:rPr>
          <w:rFonts w:ascii="Times New Roman" w:hAnsi="Times New Roman" w:cs="Times New Roman"/>
          <w:sz w:val="24"/>
        </w:rPr>
        <w:t xml:space="preserve">, </w:t>
      </w:r>
      <w:r w:rsidR="00EC585E">
        <w:rPr>
          <w:rFonts w:ascii="Times New Roman" w:hAnsi="Times New Roman" w:cs="Times New Roman"/>
          <w:sz w:val="24"/>
        </w:rPr>
        <w:t>ответы студентов</w:t>
      </w:r>
      <w:r w:rsidRPr="00517954">
        <w:rPr>
          <w:rFonts w:ascii="Times New Roman" w:hAnsi="Times New Roman" w:cs="Times New Roman"/>
          <w:sz w:val="24"/>
        </w:rPr>
        <w:t xml:space="preserve">, на первый взгляд, выглядит оптимистично: доступ в Интернет имеют </w:t>
      </w:r>
      <w:r w:rsidR="00EC585E">
        <w:rPr>
          <w:rFonts w:ascii="Times New Roman" w:hAnsi="Times New Roman" w:cs="Times New Roman"/>
          <w:sz w:val="24"/>
        </w:rPr>
        <w:t xml:space="preserve">в целом </w:t>
      </w:r>
      <w:r w:rsidRPr="00517954">
        <w:rPr>
          <w:rFonts w:ascii="Times New Roman" w:hAnsi="Times New Roman" w:cs="Times New Roman"/>
          <w:sz w:val="24"/>
        </w:rPr>
        <w:t xml:space="preserve">79% </w:t>
      </w:r>
      <w:r w:rsidR="00EC585E">
        <w:rPr>
          <w:rFonts w:ascii="Times New Roman" w:hAnsi="Times New Roman" w:cs="Times New Roman"/>
          <w:sz w:val="24"/>
        </w:rPr>
        <w:t>опрошенных обучающихся, причем практически все</w:t>
      </w:r>
      <w:r w:rsidR="00EC585E" w:rsidRPr="00517954">
        <w:rPr>
          <w:rFonts w:ascii="Times New Roman" w:hAnsi="Times New Roman" w:cs="Times New Roman"/>
          <w:sz w:val="24"/>
        </w:rPr>
        <w:t xml:space="preserve"> опрошенны</w:t>
      </w:r>
      <w:r w:rsidR="00EC585E">
        <w:rPr>
          <w:rFonts w:ascii="Times New Roman" w:hAnsi="Times New Roman" w:cs="Times New Roman"/>
          <w:sz w:val="24"/>
        </w:rPr>
        <w:t>е</w:t>
      </w:r>
      <w:r w:rsidR="00EC585E" w:rsidRPr="00517954">
        <w:rPr>
          <w:rFonts w:ascii="Times New Roman" w:hAnsi="Times New Roman" w:cs="Times New Roman"/>
          <w:sz w:val="24"/>
        </w:rPr>
        <w:t xml:space="preserve"> выходят в Интернет из дома (</w:t>
      </w:r>
      <w:r w:rsidR="00EC585E">
        <w:rPr>
          <w:rFonts w:ascii="Times New Roman" w:hAnsi="Times New Roman" w:cs="Times New Roman"/>
          <w:sz w:val="24"/>
        </w:rPr>
        <w:t>106</w:t>
      </w:r>
      <w:r w:rsidR="00EC585E" w:rsidRPr="00517954">
        <w:rPr>
          <w:rFonts w:ascii="Times New Roman" w:hAnsi="Times New Roman" w:cs="Times New Roman"/>
          <w:sz w:val="24"/>
        </w:rPr>
        <w:t xml:space="preserve"> ответов) или из </w:t>
      </w:r>
      <w:r w:rsidR="00EC585E">
        <w:rPr>
          <w:rFonts w:ascii="Times New Roman" w:hAnsi="Times New Roman" w:cs="Times New Roman"/>
          <w:sz w:val="24"/>
        </w:rPr>
        <w:t>колледжа</w:t>
      </w:r>
      <w:r w:rsidR="00EC585E" w:rsidRPr="00517954">
        <w:rPr>
          <w:rFonts w:ascii="Times New Roman" w:hAnsi="Times New Roman" w:cs="Times New Roman"/>
          <w:sz w:val="24"/>
        </w:rPr>
        <w:t xml:space="preserve"> (</w:t>
      </w:r>
      <w:r w:rsidR="00EC585E">
        <w:rPr>
          <w:rFonts w:ascii="Times New Roman" w:hAnsi="Times New Roman" w:cs="Times New Roman"/>
          <w:sz w:val="24"/>
        </w:rPr>
        <w:t>6 человек</w:t>
      </w:r>
      <w:r w:rsidR="00EC585E" w:rsidRPr="00517954">
        <w:rPr>
          <w:rFonts w:ascii="Times New Roman" w:hAnsi="Times New Roman" w:cs="Times New Roman"/>
          <w:sz w:val="24"/>
        </w:rPr>
        <w:t xml:space="preserve">). Следует отметить, что некоторые студенты </w:t>
      </w:r>
      <w:r w:rsidR="00EC585E">
        <w:rPr>
          <w:rFonts w:ascii="Times New Roman" w:hAnsi="Times New Roman" w:cs="Times New Roman"/>
          <w:sz w:val="24"/>
        </w:rPr>
        <w:t>отмечали</w:t>
      </w:r>
      <w:r w:rsidR="00EC585E" w:rsidRPr="00517954">
        <w:rPr>
          <w:rFonts w:ascii="Times New Roman" w:hAnsi="Times New Roman" w:cs="Times New Roman"/>
          <w:sz w:val="24"/>
        </w:rPr>
        <w:t xml:space="preserve">, что выходят в Интернет </w:t>
      </w:r>
      <w:r w:rsidR="00EC585E">
        <w:rPr>
          <w:rFonts w:ascii="Times New Roman" w:hAnsi="Times New Roman" w:cs="Times New Roman"/>
          <w:sz w:val="24"/>
        </w:rPr>
        <w:t>эпизодически (30 человек).</w:t>
      </w:r>
    </w:p>
    <w:p w:rsidR="00EC585E" w:rsidRDefault="00EC585E" w:rsidP="00517954">
      <w:pPr>
        <w:jc w:val="both"/>
        <w:rPr>
          <w:rFonts w:ascii="Times New Roman" w:hAnsi="Times New Roman" w:cs="Times New Roman"/>
          <w:sz w:val="24"/>
        </w:rPr>
      </w:pPr>
      <w:r w:rsidRPr="00EC585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10A7FC3" wp14:editId="1AD44557">
            <wp:extent cx="5943600" cy="1339703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7" t="26756" r="5900" b="54212"/>
                    <a:stretch/>
                  </pic:blipFill>
                  <pic:spPr bwMode="auto">
                    <a:xfrm>
                      <a:off x="0" y="0"/>
                      <a:ext cx="5940425" cy="13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A4C" w:rsidRPr="005A2A4C" w:rsidRDefault="005A2A4C" w:rsidP="005A2A4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A2A4C">
        <w:rPr>
          <w:rFonts w:ascii="Times New Roman" w:hAnsi="Times New Roman" w:cs="Times New Roman"/>
          <w:i/>
          <w:sz w:val="24"/>
        </w:rPr>
        <w:t>Рис. 1. Оценка организационно-технического компонента</w:t>
      </w:r>
    </w:p>
    <w:p w:rsidR="00A95120" w:rsidRDefault="00517954" w:rsidP="005179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585E">
        <w:rPr>
          <w:rFonts w:ascii="Times New Roman" w:hAnsi="Times New Roman" w:cs="Times New Roman"/>
          <w:sz w:val="24"/>
        </w:rPr>
        <w:t xml:space="preserve">Анализируя </w:t>
      </w:r>
      <w:r w:rsidR="00FD3D80">
        <w:rPr>
          <w:rFonts w:ascii="Times New Roman" w:hAnsi="Times New Roman" w:cs="Times New Roman"/>
          <w:sz w:val="24"/>
        </w:rPr>
        <w:t xml:space="preserve">в целом все </w:t>
      </w:r>
      <w:r w:rsidR="00A95120">
        <w:rPr>
          <w:rFonts w:ascii="Times New Roman" w:hAnsi="Times New Roman" w:cs="Times New Roman"/>
          <w:sz w:val="24"/>
        </w:rPr>
        <w:t>о</w:t>
      </w:r>
      <w:r w:rsidR="00EC585E">
        <w:rPr>
          <w:rFonts w:ascii="Times New Roman" w:hAnsi="Times New Roman" w:cs="Times New Roman"/>
          <w:sz w:val="24"/>
        </w:rPr>
        <w:t>тветы</w:t>
      </w:r>
      <w:r w:rsidR="00A95120">
        <w:rPr>
          <w:rFonts w:ascii="Times New Roman" w:hAnsi="Times New Roman" w:cs="Times New Roman"/>
          <w:sz w:val="24"/>
        </w:rPr>
        <w:t xml:space="preserve"> по вопросам диагностики этого компонента</w:t>
      </w:r>
      <w:r w:rsidR="00EC585E">
        <w:rPr>
          <w:rFonts w:ascii="Times New Roman" w:hAnsi="Times New Roman" w:cs="Times New Roman"/>
          <w:sz w:val="24"/>
        </w:rPr>
        <w:t>, можно сделать вывод</w:t>
      </w:r>
      <w:r w:rsidRPr="00517954">
        <w:rPr>
          <w:rFonts w:ascii="Times New Roman" w:hAnsi="Times New Roman" w:cs="Times New Roman"/>
          <w:sz w:val="24"/>
        </w:rPr>
        <w:t xml:space="preserve"> о том, что т</w:t>
      </w:r>
      <w:r>
        <w:rPr>
          <w:rFonts w:ascii="Times New Roman" w:hAnsi="Times New Roman" w:cs="Times New Roman"/>
          <w:sz w:val="24"/>
        </w:rPr>
        <w:t>еоретически студен</w:t>
      </w:r>
      <w:r w:rsidRPr="00517954">
        <w:rPr>
          <w:rFonts w:ascii="Times New Roman" w:hAnsi="Times New Roman" w:cs="Times New Roman"/>
          <w:sz w:val="24"/>
        </w:rPr>
        <w:t xml:space="preserve">ты могут пользоваться </w:t>
      </w:r>
      <w:r w:rsidR="00A95120">
        <w:rPr>
          <w:rFonts w:ascii="Times New Roman" w:hAnsi="Times New Roman" w:cs="Times New Roman"/>
          <w:sz w:val="24"/>
        </w:rPr>
        <w:t>цифровыми</w:t>
      </w:r>
      <w:r w:rsidRPr="00517954">
        <w:rPr>
          <w:rFonts w:ascii="Times New Roman" w:hAnsi="Times New Roman" w:cs="Times New Roman"/>
          <w:sz w:val="24"/>
        </w:rPr>
        <w:t xml:space="preserve"> </w:t>
      </w:r>
      <w:r w:rsidR="00EC585E">
        <w:rPr>
          <w:rFonts w:ascii="Times New Roman" w:hAnsi="Times New Roman" w:cs="Times New Roman"/>
          <w:sz w:val="24"/>
        </w:rPr>
        <w:t>образовательными ресурсами</w:t>
      </w:r>
      <w:r>
        <w:rPr>
          <w:rFonts w:ascii="Times New Roman" w:hAnsi="Times New Roman" w:cs="Times New Roman"/>
          <w:sz w:val="24"/>
        </w:rPr>
        <w:t>, выложенными, напри</w:t>
      </w:r>
      <w:r w:rsidRPr="00517954">
        <w:rPr>
          <w:rFonts w:ascii="Times New Roman" w:hAnsi="Times New Roman" w:cs="Times New Roman"/>
          <w:sz w:val="24"/>
        </w:rPr>
        <w:t xml:space="preserve">мер, на сайте </w:t>
      </w:r>
      <w:r>
        <w:rPr>
          <w:rFonts w:ascii="Times New Roman" w:hAnsi="Times New Roman" w:cs="Times New Roman"/>
          <w:sz w:val="24"/>
        </w:rPr>
        <w:t>колледжа</w:t>
      </w:r>
      <w:r w:rsidRPr="00517954">
        <w:rPr>
          <w:rFonts w:ascii="Times New Roman" w:hAnsi="Times New Roman" w:cs="Times New Roman"/>
          <w:sz w:val="24"/>
        </w:rPr>
        <w:t>, поскольку те</w:t>
      </w:r>
      <w:r>
        <w:rPr>
          <w:rFonts w:ascii="Times New Roman" w:hAnsi="Times New Roman" w:cs="Times New Roman"/>
          <w:sz w:val="24"/>
        </w:rPr>
        <w:t xml:space="preserve">хнические возможности для этого </w:t>
      </w:r>
      <w:r w:rsidRPr="00517954">
        <w:rPr>
          <w:rFonts w:ascii="Times New Roman" w:hAnsi="Times New Roman" w:cs="Times New Roman"/>
          <w:sz w:val="24"/>
        </w:rPr>
        <w:t>имеются у абс</w:t>
      </w:r>
      <w:r>
        <w:rPr>
          <w:rFonts w:ascii="Times New Roman" w:hAnsi="Times New Roman" w:cs="Times New Roman"/>
          <w:sz w:val="24"/>
        </w:rPr>
        <w:t>олютного большинства опрошенных</w:t>
      </w:r>
      <w:r w:rsidRPr="005179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517954">
        <w:rPr>
          <w:rFonts w:ascii="Times New Roman" w:hAnsi="Times New Roman" w:cs="Times New Roman"/>
          <w:sz w:val="24"/>
        </w:rPr>
        <w:t xml:space="preserve">Участникам </w:t>
      </w:r>
      <w:r w:rsidR="00A95120">
        <w:rPr>
          <w:rFonts w:ascii="Times New Roman" w:hAnsi="Times New Roman" w:cs="Times New Roman"/>
          <w:sz w:val="24"/>
        </w:rPr>
        <w:t>нашего опроса был</w:t>
      </w:r>
      <w:r>
        <w:rPr>
          <w:rFonts w:ascii="Times New Roman" w:hAnsi="Times New Roman" w:cs="Times New Roman"/>
          <w:sz w:val="24"/>
        </w:rPr>
        <w:t xml:space="preserve"> предложен вопрос</w:t>
      </w:r>
      <w:r w:rsidR="00FD3D80">
        <w:rPr>
          <w:rFonts w:ascii="Times New Roman" w:hAnsi="Times New Roman" w:cs="Times New Roman"/>
          <w:sz w:val="24"/>
        </w:rPr>
        <w:t xml:space="preserve"> на оценку когнитивного компонента</w:t>
      </w:r>
      <w:r>
        <w:rPr>
          <w:rFonts w:ascii="Times New Roman" w:hAnsi="Times New Roman" w:cs="Times New Roman"/>
          <w:sz w:val="24"/>
        </w:rPr>
        <w:t xml:space="preserve">: </w:t>
      </w:r>
      <w:r w:rsidRPr="00517954">
        <w:rPr>
          <w:rFonts w:ascii="Times New Roman" w:hAnsi="Times New Roman" w:cs="Times New Roman"/>
          <w:sz w:val="24"/>
        </w:rPr>
        <w:t>«Знаете ли Вы, что такое электронный</w:t>
      </w:r>
      <w:r>
        <w:rPr>
          <w:rFonts w:ascii="Times New Roman" w:hAnsi="Times New Roman" w:cs="Times New Roman"/>
          <w:sz w:val="24"/>
        </w:rPr>
        <w:t xml:space="preserve"> учебник?». </w:t>
      </w:r>
      <w:r w:rsidR="00A9512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тветы </w:t>
      </w:r>
      <w:r w:rsidR="00A95120">
        <w:rPr>
          <w:rFonts w:ascii="Times New Roman" w:hAnsi="Times New Roman" w:cs="Times New Roman"/>
          <w:sz w:val="24"/>
        </w:rPr>
        <w:t>большей части студентов</w:t>
      </w:r>
      <w:r w:rsidRPr="00517954">
        <w:rPr>
          <w:rFonts w:ascii="Times New Roman" w:hAnsi="Times New Roman" w:cs="Times New Roman"/>
          <w:sz w:val="24"/>
        </w:rPr>
        <w:t xml:space="preserve"> были предсказуемы: </w:t>
      </w:r>
      <w:r w:rsidR="00A95120">
        <w:rPr>
          <w:rFonts w:ascii="Times New Roman" w:hAnsi="Times New Roman" w:cs="Times New Roman"/>
          <w:sz w:val="24"/>
        </w:rPr>
        <w:t>97% респондентов</w:t>
      </w:r>
      <w:r w:rsidRPr="00517954">
        <w:rPr>
          <w:rFonts w:ascii="Times New Roman" w:hAnsi="Times New Roman" w:cs="Times New Roman"/>
          <w:sz w:val="24"/>
        </w:rPr>
        <w:t xml:space="preserve"> выбрали вариант «да, знаю»</w:t>
      </w:r>
      <w:r w:rsidR="00A95120">
        <w:rPr>
          <w:rFonts w:ascii="Times New Roman" w:hAnsi="Times New Roman" w:cs="Times New Roman"/>
          <w:sz w:val="24"/>
        </w:rPr>
        <w:t>. Однако, м</w:t>
      </w:r>
      <w:r w:rsidRPr="00517954">
        <w:rPr>
          <w:rFonts w:ascii="Times New Roman" w:hAnsi="Times New Roman" w:cs="Times New Roman"/>
          <w:sz w:val="24"/>
        </w:rPr>
        <w:t xml:space="preserve">ы </w:t>
      </w:r>
      <w:r w:rsidR="00A95120">
        <w:rPr>
          <w:rFonts w:ascii="Times New Roman" w:hAnsi="Times New Roman" w:cs="Times New Roman"/>
          <w:sz w:val="24"/>
        </w:rPr>
        <w:t>предполагаем, что часть этих ответов</w:t>
      </w:r>
      <w:r>
        <w:rPr>
          <w:rFonts w:ascii="Times New Roman" w:hAnsi="Times New Roman" w:cs="Times New Roman"/>
          <w:sz w:val="24"/>
        </w:rPr>
        <w:t xml:space="preserve"> </w:t>
      </w:r>
      <w:r w:rsidR="00A95120">
        <w:rPr>
          <w:rFonts w:ascii="Times New Roman" w:hAnsi="Times New Roman" w:cs="Times New Roman"/>
          <w:sz w:val="24"/>
        </w:rPr>
        <w:t>не вполне правдоподобна:</w:t>
      </w:r>
      <w:r>
        <w:rPr>
          <w:rFonts w:ascii="Times New Roman" w:hAnsi="Times New Roman" w:cs="Times New Roman"/>
          <w:sz w:val="24"/>
        </w:rPr>
        <w:t xml:space="preserve"> студен</w:t>
      </w:r>
      <w:r w:rsidRPr="00517954">
        <w:rPr>
          <w:rFonts w:ascii="Times New Roman" w:hAnsi="Times New Roman" w:cs="Times New Roman"/>
          <w:sz w:val="24"/>
        </w:rPr>
        <w:t xml:space="preserve">ты не вполне </w:t>
      </w:r>
      <w:r w:rsidR="00A95120">
        <w:rPr>
          <w:rFonts w:ascii="Times New Roman" w:hAnsi="Times New Roman" w:cs="Times New Roman"/>
          <w:sz w:val="24"/>
        </w:rPr>
        <w:t>могут понимать</w:t>
      </w:r>
      <w:r w:rsidRPr="00517954">
        <w:rPr>
          <w:rFonts w:ascii="Times New Roman" w:hAnsi="Times New Roman" w:cs="Times New Roman"/>
          <w:sz w:val="24"/>
        </w:rPr>
        <w:t>, что такое</w:t>
      </w:r>
      <w:r>
        <w:rPr>
          <w:rFonts w:ascii="Times New Roman" w:hAnsi="Times New Roman" w:cs="Times New Roman"/>
          <w:sz w:val="24"/>
        </w:rPr>
        <w:t xml:space="preserve"> электронный учебник. Многие из </w:t>
      </w:r>
      <w:r w:rsidRPr="00517954">
        <w:rPr>
          <w:rFonts w:ascii="Times New Roman" w:hAnsi="Times New Roman" w:cs="Times New Roman"/>
          <w:sz w:val="24"/>
        </w:rPr>
        <w:t xml:space="preserve">них </w:t>
      </w:r>
      <w:r w:rsidR="00A95120">
        <w:rPr>
          <w:rFonts w:ascii="Times New Roman" w:hAnsi="Times New Roman" w:cs="Times New Roman"/>
          <w:sz w:val="24"/>
        </w:rPr>
        <w:t>подразумевают под ним</w:t>
      </w:r>
      <w:r w:rsidRPr="00517954">
        <w:rPr>
          <w:rFonts w:ascii="Times New Roman" w:hAnsi="Times New Roman" w:cs="Times New Roman"/>
          <w:sz w:val="24"/>
        </w:rPr>
        <w:t xml:space="preserve"> электронн</w:t>
      </w:r>
      <w:r w:rsidR="00A95120">
        <w:rPr>
          <w:rFonts w:ascii="Times New Roman" w:hAnsi="Times New Roman" w:cs="Times New Roman"/>
          <w:sz w:val="24"/>
        </w:rPr>
        <w:t>ую</w:t>
      </w:r>
      <w:r w:rsidRPr="00517954">
        <w:rPr>
          <w:rFonts w:ascii="Times New Roman" w:hAnsi="Times New Roman" w:cs="Times New Roman"/>
          <w:sz w:val="24"/>
        </w:rPr>
        <w:t xml:space="preserve"> ве</w:t>
      </w:r>
      <w:r>
        <w:rPr>
          <w:rFonts w:ascii="Times New Roman" w:hAnsi="Times New Roman" w:cs="Times New Roman"/>
          <w:sz w:val="24"/>
        </w:rPr>
        <w:t>рси</w:t>
      </w:r>
      <w:r w:rsidR="00A95120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учебного пособия, </w:t>
      </w:r>
      <w:r w:rsidR="00A95120">
        <w:rPr>
          <w:rFonts w:ascii="Times New Roman" w:hAnsi="Times New Roman" w:cs="Times New Roman"/>
          <w:sz w:val="24"/>
        </w:rPr>
        <w:t>размещенную</w:t>
      </w:r>
      <w:r w:rsidRPr="00517954">
        <w:rPr>
          <w:rFonts w:ascii="Times New Roman" w:hAnsi="Times New Roman" w:cs="Times New Roman"/>
          <w:sz w:val="24"/>
        </w:rPr>
        <w:t xml:space="preserve"> на общедоступном ресурсе. </w:t>
      </w:r>
      <w:r w:rsidR="00A95120">
        <w:rPr>
          <w:rFonts w:ascii="Times New Roman" w:hAnsi="Times New Roman" w:cs="Times New Roman"/>
          <w:sz w:val="24"/>
        </w:rPr>
        <w:t>Возможно, и</w:t>
      </w:r>
      <w:r w:rsidRPr="00517954">
        <w:rPr>
          <w:rFonts w:ascii="Times New Roman" w:hAnsi="Times New Roman" w:cs="Times New Roman"/>
          <w:sz w:val="24"/>
        </w:rPr>
        <w:t>мен</w:t>
      </w:r>
      <w:r>
        <w:rPr>
          <w:rFonts w:ascii="Times New Roman" w:hAnsi="Times New Roman" w:cs="Times New Roman"/>
          <w:sz w:val="24"/>
        </w:rPr>
        <w:t>но поэтому студенты так оптими</w:t>
      </w:r>
      <w:r w:rsidRPr="00517954">
        <w:rPr>
          <w:rFonts w:ascii="Times New Roman" w:hAnsi="Times New Roman" w:cs="Times New Roman"/>
          <w:sz w:val="24"/>
        </w:rPr>
        <w:t xml:space="preserve">стично оценивают свои навыки по работе с </w:t>
      </w:r>
      <w:r w:rsidR="00A95120">
        <w:rPr>
          <w:rFonts w:ascii="Times New Roman" w:hAnsi="Times New Roman" w:cs="Times New Roman"/>
          <w:sz w:val="24"/>
        </w:rPr>
        <w:t>цифровыми образовательными ресурсами</w:t>
      </w:r>
      <w:r w:rsidRPr="00517954">
        <w:rPr>
          <w:rFonts w:ascii="Times New Roman" w:hAnsi="Times New Roman" w:cs="Times New Roman"/>
          <w:sz w:val="24"/>
        </w:rPr>
        <w:t>.</w:t>
      </w:r>
      <w:r w:rsidR="00FD3D80">
        <w:rPr>
          <w:rFonts w:ascii="Times New Roman" w:hAnsi="Times New Roman" w:cs="Times New Roman"/>
          <w:sz w:val="24"/>
        </w:rPr>
        <w:t xml:space="preserve"> </w:t>
      </w:r>
      <w:r w:rsidRPr="00517954">
        <w:rPr>
          <w:rFonts w:ascii="Times New Roman" w:hAnsi="Times New Roman" w:cs="Times New Roman"/>
          <w:sz w:val="24"/>
        </w:rPr>
        <w:t xml:space="preserve">Показательно, что студенты </w:t>
      </w:r>
      <w:r w:rsidR="00A95120">
        <w:rPr>
          <w:rFonts w:ascii="Times New Roman" w:hAnsi="Times New Roman" w:cs="Times New Roman"/>
          <w:sz w:val="24"/>
        </w:rPr>
        <w:t xml:space="preserve">воспринимают </w:t>
      </w:r>
      <w:r>
        <w:rPr>
          <w:rFonts w:ascii="Times New Roman" w:hAnsi="Times New Roman" w:cs="Times New Roman"/>
          <w:sz w:val="24"/>
        </w:rPr>
        <w:t xml:space="preserve">себя </w:t>
      </w:r>
      <w:r w:rsidR="00A95120">
        <w:rPr>
          <w:rFonts w:ascii="Times New Roman" w:hAnsi="Times New Roman" w:cs="Times New Roman"/>
          <w:sz w:val="24"/>
        </w:rPr>
        <w:t>готовыми к работе</w:t>
      </w:r>
      <w:r w:rsidRPr="00517954">
        <w:rPr>
          <w:rFonts w:ascii="Times New Roman" w:hAnsi="Times New Roman" w:cs="Times New Roman"/>
          <w:sz w:val="24"/>
        </w:rPr>
        <w:t xml:space="preserve"> в области электронн</w:t>
      </w:r>
      <w:r>
        <w:rPr>
          <w:rFonts w:ascii="Times New Roman" w:hAnsi="Times New Roman" w:cs="Times New Roman"/>
          <w:sz w:val="24"/>
        </w:rPr>
        <w:t>ых учебников</w:t>
      </w:r>
      <w:r w:rsidR="00A95120">
        <w:rPr>
          <w:rFonts w:ascii="Times New Roman" w:hAnsi="Times New Roman" w:cs="Times New Roman"/>
          <w:sz w:val="24"/>
        </w:rPr>
        <w:t xml:space="preserve">: </w:t>
      </w:r>
      <w:r w:rsidRPr="00517954">
        <w:rPr>
          <w:rFonts w:ascii="Times New Roman" w:hAnsi="Times New Roman" w:cs="Times New Roman"/>
          <w:sz w:val="24"/>
        </w:rPr>
        <w:t>если они умею</w:t>
      </w:r>
      <w:r w:rsidR="00A95120">
        <w:rPr>
          <w:rFonts w:ascii="Times New Roman" w:hAnsi="Times New Roman" w:cs="Times New Roman"/>
          <w:sz w:val="24"/>
        </w:rPr>
        <w:t>т работать в Интернете, то и с цифровым образовательным ресурсом разберутся сами</w:t>
      </w:r>
      <w:r w:rsidRPr="00517954">
        <w:rPr>
          <w:rFonts w:ascii="Times New Roman" w:hAnsi="Times New Roman" w:cs="Times New Roman"/>
          <w:sz w:val="24"/>
        </w:rPr>
        <w:t>.</w:t>
      </w:r>
    </w:p>
    <w:p w:rsidR="00517954" w:rsidRDefault="00A95120" w:rsidP="00FD3D8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512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501E0CE" wp14:editId="641A275C">
            <wp:extent cx="5943600" cy="1626781"/>
            <wp:effectExtent l="0" t="0" r="0" b="0"/>
            <wp:docPr id="409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7" t="27064" r="8161" b="43686"/>
                    <a:stretch/>
                  </pic:blipFill>
                  <pic:spPr bwMode="auto">
                    <a:xfrm>
                      <a:off x="0" y="0"/>
                      <a:ext cx="5940425" cy="16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D3D80" w:rsidRPr="005A2A4C" w:rsidRDefault="00FD3D80" w:rsidP="00FD3D8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A2A4C">
        <w:rPr>
          <w:rFonts w:ascii="Times New Roman" w:hAnsi="Times New Roman" w:cs="Times New Roman"/>
          <w:i/>
          <w:sz w:val="24"/>
        </w:rPr>
        <w:t xml:space="preserve">Рис. </w:t>
      </w:r>
      <w:r>
        <w:rPr>
          <w:rFonts w:ascii="Times New Roman" w:hAnsi="Times New Roman" w:cs="Times New Roman"/>
          <w:i/>
          <w:sz w:val="24"/>
        </w:rPr>
        <w:t>2</w:t>
      </w:r>
      <w:r w:rsidRPr="005A2A4C">
        <w:rPr>
          <w:rFonts w:ascii="Times New Roman" w:hAnsi="Times New Roman" w:cs="Times New Roman"/>
          <w:i/>
          <w:sz w:val="24"/>
        </w:rPr>
        <w:t xml:space="preserve">. Оценка </w:t>
      </w:r>
      <w:r>
        <w:rPr>
          <w:rFonts w:ascii="Times New Roman" w:hAnsi="Times New Roman" w:cs="Times New Roman"/>
          <w:i/>
          <w:sz w:val="24"/>
        </w:rPr>
        <w:t>когнитивного</w:t>
      </w:r>
      <w:r w:rsidRPr="005A2A4C">
        <w:rPr>
          <w:rFonts w:ascii="Times New Roman" w:hAnsi="Times New Roman" w:cs="Times New Roman"/>
          <w:i/>
          <w:sz w:val="24"/>
        </w:rPr>
        <w:t xml:space="preserve"> компонента</w:t>
      </w:r>
    </w:p>
    <w:p w:rsidR="00517954" w:rsidRDefault="00517954" w:rsidP="00FC50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95120">
        <w:rPr>
          <w:rFonts w:ascii="Times New Roman" w:hAnsi="Times New Roman" w:cs="Times New Roman"/>
          <w:sz w:val="24"/>
        </w:rPr>
        <w:t>Кроме того, можно отметить, что к</w:t>
      </w:r>
      <w:r w:rsidRPr="00517954">
        <w:rPr>
          <w:rFonts w:ascii="Times New Roman" w:hAnsi="Times New Roman" w:cs="Times New Roman"/>
          <w:sz w:val="24"/>
        </w:rPr>
        <w:t xml:space="preserve">оличество студентов – реальных </w:t>
      </w:r>
      <w:r>
        <w:rPr>
          <w:rFonts w:ascii="Times New Roman" w:hAnsi="Times New Roman" w:cs="Times New Roman"/>
          <w:sz w:val="24"/>
        </w:rPr>
        <w:t>пользователей электронных учеб</w:t>
      </w:r>
      <w:r w:rsidRPr="00517954">
        <w:rPr>
          <w:rFonts w:ascii="Times New Roman" w:hAnsi="Times New Roman" w:cs="Times New Roman"/>
          <w:sz w:val="24"/>
        </w:rPr>
        <w:t xml:space="preserve">ников, уверенных в их </w:t>
      </w:r>
      <w:r w:rsidR="00A95120">
        <w:rPr>
          <w:rFonts w:ascii="Times New Roman" w:hAnsi="Times New Roman" w:cs="Times New Roman"/>
          <w:sz w:val="24"/>
        </w:rPr>
        <w:t>пользе</w:t>
      </w:r>
      <w:r w:rsidR="00FD3D80">
        <w:rPr>
          <w:rFonts w:ascii="Times New Roman" w:hAnsi="Times New Roman" w:cs="Times New Roman"/>
          <w:sz w:val="24"/>
        </w:rPr>
        <w:t xml:space="preserve"> при практическом использовании</w:t>
      </w:r>
      <w:r w:rsidRPr="00517954">
        <w:rPr>
          <w:rFonts w:ascii="Times New Roman" w:hAnsi="Times New Roman" w:cs="Times New Roman"/>
          <w:sz w:val="24"/>
        </w:rPr>
        <w:t xml:space="preserve">, – в </w:t>
      </w:r>
      <w:r>
        <w:rPr>
          <w:rFonts w:ascii="Times New Roman" w:hAnsi="Times New Roman" w:cs="Times New Roman"/>
          <w:sz w:val="24"/>
        </w:rPr>
        <w:t xml:space="preserve">процентном отношении в два раза </w:t>
      </w:r>
      <w:r w:rsidRPr="00517954">
        <w:rPr>
          <w:rFonts w:ascii="Times New Roman" w:hAnsi="Times New Roman" w:cs="Times New Roman"/>
          <w:sz w:val="24"/>
        </w:rPr>
        <w:t>меньше, чем среди «теоретиков».</w:t>
      </w:r>
      <w:r w:rsidR="00FD3D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61CBE">
        <w:rPr>
          <w:rFonts w:ascii="Times New Roman" w:hAnsi="Times New Roman" w:cs="Times New Roman"/>
          <w:sz w:val="24"/>
        </w:rPr>
        <w:t>В целом</w:t>
      </w:r>
      <w:r w:rsidR="00FD3D80">
        <w:rPr>
          <w:rFonts w:ascii="Times New Roman" w:hAnsi="Times New Roman" w:cs="Times New Roman"/>
          <w:sz w:val="24"/>
        </w:rPr>
        <w:t>,</w:t>
      </w:r>
      <w:r w:rsidR="00A61CBE">
        <w:rPr>
          <w:rFonts w:ascii="Times New Roman" w:hAnsi="Times New Roman" w:cs="Times New Roman"/>
          <w:sz w:val="24"/>
        </w:rPr>
        <w:t xml:space="preserve"> можно сделать вывод о том</w:t>
      </w:r>
      <w:r w:rsidRPr="00517954">
        <w:rPr>
          <w:rFonts w:ascii="Times New Roman" w:hAnsi="Times New Roman" w:cs="Times New Roman"/>
          <w:sz w:val="24"/>
        </w:rPr>
        <w:t xml:space="preserve">, что студенты </w:t>
      </w:r>
      <w:r>
        <w:rPr>
          <w:rFonts w:ascii="Times New Roman" w:hAnsi="Times New Roman" w:cs="Times New Roman"/>
          <w:sz w:val="24"/>
        </w:rPr>
        <w:t>воспринима</w:t>
      </w:r>
      <w:r w:rsidRPr="00517954">
        <w:rPr>
          <w:rFonts w:ascii="Times New Roman" w:hAnsi="Times New Roman" w:cs="Times New Roman"/>
          <w:sz w:val="24"/>
        </w:rPr>
        <w:t xml:space="preserve">ют идею перехода </w:t>
      </w:r>
      <w:r w:rsidR="00A61CBE">
        <w:rPr>
          <w:rFonts w:ascii="Times New Roman" w:hAnsi="Times New Roman" w:cs="Times New Roman"/>
          <w:sz w:val="24"/>
        </w:rPr>
        <w:t>к работе с цифровыми образовательными ресурсами</w:t>
      </w:r>
      <w:r>
        <w:rPr>
          <w:rFonts w:ascii="Times New Roman" w:hAnsi="Times New Roman" w:cs="Times New Roman"/>
          <w:sz w:val="24"/>
        </w:rPr>
        <w:t xml:space="preserve"> с большим энтузиазмом.</w:t>
      </w:r>
    </w:p>
    <w:p w:rsidR="00426ADE" w:rsidRDefault="00426ADE" w:rsidP="00FC50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FD3D80">
        <w:rPr>
          <w:rFonts w:ascii="Times New Roman" w:hAnsi="Times New Roman" w:cs="Times New Roman"/>
          <w:sz w:val="24"/>
        </w:rPr>
        <w:t>При оценке мотивационно-ценностного компонента готовности, н</w:t>
      </w:r>
      <w:r w:rsidR="00A61CBE">
        <w:rPr>
          <w:rFonts w:ascii="Times New Roman" w:hAnsi="Times New Roman" w:cs="Times New Roman"/>
          <w:sz w:val="24"/>
        </w:rPr>
        <w:t xml:space="preserve">еобходимым звеном была проверка того факта, </w:t>
      </w:r>
      <w:r w:rsidR="00517954" w:rsidRPr="00517954">
        <w:rPr>
          <w:rFonts w:ascii="Times New Roman" w:hAnsi="Times New Roman" w:cs="Times New Roman"/>
          <w:sz w:val="24"/>
        </w:rPr>
        <w:t xml:space="preserve">что </w:t>
      </w:r>
      <w:r w:rsidR="00A61CBE">
        <w:rPr>
          <w:rFonts w:ascii="Times New Roman" w:hAnsi="Times New Roman" w:cs="Times New Roman"/>
          <w:sz w:val="24"/>
        </w:rPr>
        <w:t>цифровой образовательный ресурс</w:t>
      </w:r>
      <w:r w:rsidR="00517954" w:rsidRPr="00517954">
        <w:rPr>
          <w:rFonts w:ascii="Times New Roman" w:hAnsi="Times New Roman" w:cs="Times New Roman"/>
          <w:sz w:val="24"/>
        </w:rPr>
        <w:t xml:space="preserve"> – это не </w:t>
      </w:r>
      <w:r>
        <w:rPr>
          <w:rFonts w:ascii="Times New Roman" w:hAnsi="Times New Roman" w:cs="Times New Roman"/>
          <w:sz w:val="24"/>
        </w:rPr>
        <w:t xml:space="preserve">только способ получения знаний, </w:t>
      </w:r>
      <w:r w:rsidR="00517954" w:rsidRPr="00517954">
        <w:rPr>
          <w:rFonts w:ascii="Times New Roman" w:hAnsi="Times New Roman" w:cs="Times New Roman"/>
          <w:sz w:val="24"/>
        </w:rPr>
        <w:t xml:space="preserve">но и </w:t>
      </w:r>
      <w:r w:rsidR="00A61CBE">
        <w:rPr>
          <w:rFonts w:ascii="Times New Roman" w:hAnsi="Times New Roman" w:cs="Times New Roman"/>
          <w:sz w:val="24"/>
        </w:rPr>
        <w:t xml:space="preserve">средство промежуточного и итогового </w:t>
      </w:r>
      <w:r w:rsidR="00517954" w:rsidRPr="00517954">
        <w:rPr>
          <w:rFonts w:ascii="Times New Roman" w:hAnsi="Times New Roman" w:cs="Times New Roman"/>
          <w:sz w:val="24"/>
        </w:rPr>
        <w:t>контроля со стороны преподавателя</w:t>
      </w:r>
      <w:r>
        <w:rPr>
          <w:rFonts w:ascii="Times New Roman" w:hAnsi="Times New Roman" w:cs="Times New Roman"/>
          <w:sz w:val="24"/>
        </w:rPr>
        <w:t xml:space="preserve">. </w:t>
      </w:r>
      <w:r w:rsidR="00A61CBE">
        <w:rPr>
          <w:rFonts w:ascii="Times New Roman" w:hAnsi="Times New Roman" w:cs="Times New Roman"/>
          <w:sz w:val="24"/>
        </w:rPr>
        <w:t xml:space="preserve">Ответы на вопросы этого блока </w:t>
      </w:r>
      <w:r w:rsidR="00517954" w:rsidRPr="00517954">
        <w:rPr>
          <w:rFonts w:ascii="Times New Roman" w:hAnsi="Times New Roman" w:cs="Times New Roman"/>
          <w:sz w:val="24"/>
        </w:rPr>
        <w:t>ока</w:t>
      </w:r>
      <w:r w:rsidR="00A61CBE">
        <w:rPr>
          <w:rFonts w:ascii="Times New Roman" w:hAnsi="Times New Roman" w:cs="Times New Roman"/>
          <w:sz w:val="24"/>
        </w:rPr>
        <w:t xml:space="preserve">зались </w:t>
      </w:r>
      <w:r>
        <w:rPr>
          <w:rFonts w:ascii="Times New Roman" w:hAnsi="Times New Roman" w:cs="Times New Roman"/>
          <w:sz w:val="24"/>
        </w:rPr>
        <w:t>более показательными</w:t>
      </w:r>
      <w:r w:rsidR="00517954" w:rsidRPr="0051795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13% опрошенных категори</w:t>
      </w:r>
      <w:r w:rsidR="00517954" w:rsidRPr="00517954">
        <w:rPr>
          <w:rFonts w:ascii="Times New Roman" w:hAnsi="Times New Roman" w:cs="Times New Roman"/>
          <w:sz w:val="24"/>
        </w:rPr>
        <w:t xml:space="preserve">чески </w:t>
      </w:r>
      <w:r>
        <w:rPr>
          <w:rFonts w:ascii="Times New Roman" w:hAnsi="Times New Roman" w:cs="Times New Roman"/>
          <w:sz w:val="24"/>
        </w:rPr>
        <w:t>против сдачи работ онлайн, полностью доволь</w:t>
      </w:r>
      <w:r w:rsidR="00517954" w:rsidRPr="00517954">
        <w:rPr>
          <w:rFonts w:ascii="Times New Roman" w:hAnsi="Times New Roman" w:cs="Times New Roman"/>
          <w:sz w:val="24"/>
        </w:rPr>
        <w:t xml:space="preserve">ны этой опцией </w:t>
      </w:r>
      <w:r w:rsidR="00A61CBE">
        <w:rPr>
          <w:rFonts w:ascii="Times New Roman" w:hAnsi="Times New Roman" w:cs="Times New Roman"/>
          <w:sz w:val="24"/>
        </w:rPr>
        <w:t xml:space="preserve">только </w:t>
      </w:r>
      <w:r>
        <w:rPr>
          <w:rFonts w:ascii="Times New Roman" w:hAnsi="Times New Roman" w:cs="Times New Roman"/>
          <w:sz w:val="24"/>
        </w:rPr>
        <w:t>54</w:t>
      </w:r>
      <w:r w:rsidR="00517954" w:rsidRPr="00517954">
        <w:rPr>
          <w:rFonts w:ascii="Times New Roman" w:hAnsi="Times New Roman" w:cs="Times New Roman"/>
          <w:sz w:val="24"/>
        </w:rPr>
        <w:t>% студентов</w:t>
      </w:r>
      <w:r>
        <w:rPr>
          <w:rFonts w:ascii="Times New Roman" w:hAnsi="Times New Roman" w:cs="Times New Roman"/>
          <w:sz w:val="24"/>
        </w:rPr>
        <w:t>.</w:t>
      </w:r>
    </w:p>
    <w:p w:rsidR="00A61CBE" w:rsidRDefault="00A37155" w:rsidP="00A371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77709A9" wp14:editId="7E975111">
            <wp:extent cx="6018028" cy="155235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893" t="29356" r="4840" b="41479"/>
                    <a:stretch/>
                  </pic:blipFill>
                  <pic:spPr bwMode="auto">
                    <a:xfrm>
                      <a:off x="0" y="0"/>
                      <a:ext cx="6037788" cy="155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155" w:rsidRPr="005A2A4C" w:rsidRDefault="00A37155" w:rsidP="00A371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A2A4C">
        <w:rPr>
          <w:rFonts w:ascii="Times New Roman" w:hAnsi="Times New Roman" w:cs="Times New Roman"/>
          <w:i/>
          <w:sz w:val="24"/>
        </w:rPr>
        <w:t xml:space="preserve">Рис. </w:t>
      </w:r>
      <w:r>
        <w:rPr>
          <w:rFonts w:ascii="Times New Roman" w:hAnsi="Times New Roman" w:cs="Times New Roman"/>
          <w:i/>
          <w:sz w:val="24"/>
        </w:rPr>
        <w:t>3</w:t>
      </w:r>
      <w:r w:rsidRPr="005A2A4C">
        <w:rPr>
          <w:rFonts w:ascii="Times New Roman" w:hAnsi="Times New Roman" w:cs="Times New Roman"/>
          <w:i/>
          <w:sz w:val="24"/>
        </w:rPr>
        <w:t xml:space="preserve">. Оценка </w:t>
      </w:r>
      <w:r>
        <w:rPr>
          <w:rFonts w:ascii="Times New Roman" w:hAnsi="Times New Roman" w:cs="Times New Roman"/>
          <w:i/>
          <w:sz w:val="24"/>
        </w:rPr>
        <w:t xml:space="preserve">мотивационно-ценностного </w:t>
      </w:r>
      <w:r w:rsidRPr="005A2A4C">
        <w:rPr>
          <w:rFonts w:ascii="Times New Roman" w:hAnsi="Times New Roman" w:cs="Times New Roman"/>
          <w:i/>
          <w:sz w:val="24"/>
        </w:rPr>
        <w:t>компонента</w:t>
      </w:r>
    </w:p>
    <w:p w:rsidR="00A37155" w:rsidRDefault="00FC501C" w:rsidP="00FC5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Оценка 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компонента готовности показывает уровень </w:t>
      </w:r>
      <w:proofErr w:type="spellStart"/>
      <w:r w:rsidRPr="005A7A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A7AD0">
        <w:rPr>
          <w:rFonts w:ascii="Times New Roman" w:hAnsi="Times New Roman" w:cs="Times New Roman"/>
          <w:sz w:val="24"/>
          <w:szCs w:val="24"/>
        </w:rPr>
        <w:t xml:space="preserve"> навыков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 При ответе на вопрос «</w:t>
      </w:r>
      <w:r w:rsidRPr="00FC501C">
        <w:rPr>
          <w:rFonts w:ascii="Times New Roman" w:hAnsi="Times New Roman" w:cs="Times New Roman"/>
          <w:sz w:val="24"/>
          <w:szCs w:val="24"/>
        </w:rPr>
        <w:t>Если бы мне разрешили заниматься полностью по свободной программе, я бы основное время посвятил...</w:t>
      </w:r>
      <w:r>
        <w:rPr>
          <w:rFonts w:ascii="Times New Roman" w:hAnsi="Times New Roman" w:cs="Times New Roman"/>
          <w:sz w:val="24"/>
          <w:szCs w:val="24"/>
        </w:rPr>
        <w:t xml:space="preserve">» 36% студентов выбрали занятия, связанные с учебной деятельностью и профессиональным ростом. </w:t>
      </w:r>
    </w:p>
    <w:p w:rsidR="00517954" w:rsidRPr="00D55CE0" w:rsidRDefault="00426ADE" w:rsidP="00FC50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26ADE">
        <w:rPr>
          <w:rFonts w:ascii="Times New Roman" w:hAnsi="Times New Roman" w:cs="Times New Roman"/>
          <w:sz w:val="24"/>
        </w:rPr>
        <w:t xml:space="preserve">Обобщая результаты </w:t>
      </w:r>
      <w:r w:rsidR="00FC501C">
        <w:rPr>
          <w:rFonts w:ascii="Times New Roman" w:hAnsi="Times New Roman" w:cs="Times New Roman"/>
          <w:sz w:val="24"/>
        </w:rPr>
        <w:t>анализа исследования</w:t>
      </w:r>
      <w:r w:rsidRPr="00426ADE">
        <w:rPr>
          <w:rFonts w:ascii="Times New Roman" w:hAnsi="Times New Roman" w:cs="Times New Roman"/>
          <w:sz w:val="24"/>
        </w:rPr>
        <w:t>, приходим к выводу о том,</w:t>
      </w:r>
      <w:r>
        <w:rPr>
          <w:rFonts w:ascii="Times New Roman" w:hAnsi="Times New Roman" w:cs="Times New Roman"/>
          <w:sz w:val="24"/>
        </w:rPr>
        <w:t xml:space="preserve"> что студенты воспринимают идею </w:t>
      </w:r>
      <w:r w:rsidRPr="00426ADE">
        <w:rPr>
          <w:rFonts w:ascii="Times New Roman" w:hAnsi="Times New Roman" w:cs="Times New Roman"/>
          <w:sz w:val="24"/>
        </w:rPr>
        <w:t xml:space="preserve">перехода </w:t>
      </w:r>
      <w:r w:rsidR="00A61CBE">
        <w:rPr>
          <w:rFonts w:ascii="Times New Roman" w:hAnsi="Times New Roman" w:cs="Times New Roman"/>
          <w:sz w:val="24"/>
        </w:rPr>
        <w:t>к работе с цифровыми образовательными ресурсами</w:t>
      </w:r>
      <w:r w:rsidRPr="00426ADE">
        <w:rPr>
          <w:rFonts w:ascii="Times New Roman" w:hAnsi="Times New Roman" w:cs="Times New Roman"/>
          <w:sz w:val="24"/>
        </w:rPr>
        <w:t xml:space="preserve"> с энту</w:t>
      </w:r>
      <w:r>
        <w:rPr>
          <w:rFonts w:ascii="Times New Roman" w:hAnsi="Times New Roman" w:cs="Times New Roman"/>
          <w:sz w:val="24"/>
        </w:rPr>
        <w:t>зиазмом, считают себя достаточ</w:t>
      </w:r>
      <w:r w:rsidRPr="00426ADE">
        <w:rPr>
          <w:rFonts w:ascii="Times New Roman" w:hAnsi="Times New Roman" w:cs="Times New Roman"/>
          <w:sz w:val="24"/>
        </w:rPr>
        <w:t>но компетентными и готовыми к онлайн-</w:t>
      </w:r>
      <w:r>
        <w:rPr>
          <w:rFonts w:ascii="Times New Roman" w:hAnsi="Times New Roman" w:cs="Times New Roman"/>
          <w:sz w:val="24"/>
        </w:rPr>
        <w:t>обучению, но при этом хотят со</w:t>
      </w:r>
      <w:r w:rsidRPr="00426ADE">
        <w:rPr>
          <w:rFonts w:ascii="Times New Roman" w:hAnsi="Times New Roman" w:cs="Times New Roman"/>
          <w:sz w:val="24"/>
        </w:rPr>
        <w:t xml:space="preserve">хранить за собой право выбора формы </w:t>
      </w:r>
      <w:r>
        <w:rPr>
          <w:rFonts w:ascii="Times New Roman" w:hAnsi="Times New Roman" w:cs="Times New Roman"/>
          <w:sz w:val="24"/>
        </w:rPr>
        <w:t>сдачи письменных заданий и воз</w:t>
      </w:r>
      <w:r w:rsidRPr="00426ADE">
        <w:rPr>
          <w:rFonts w:ascii="Times New Roman" w:hAnsi="Times New Roman" w:cs="Times New Roman"/>
          <w:sz w:val="24"/>
        </w:rPr>
        <w:t>можность использовать привычные печатные издания.</w:t>
      </w:r>
    </w:p>
    <w:p w:rsidR="00D55CE0" w:rsidRPr="00D55CE0" w:rsidRDefault="00D55CE0" w:rsidP="00FC50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Однако, необходимо отметить, что анализ уровня готовности исследуемого качества не может быть ограничен проведенным нами исследованием и требует продолжения изучения на дальнейших этапах внедрения интегрированной системы обучения. </w:t>
      </w:r>
    </w:p>
    <w:sectPr w:rsidR="00D55CE0" w:rsidRPr="00D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8C6"/>
    <w:multiLevelType w:val="hybridMultilevel"/>
    <w:tmpl w:val="A62A1C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715A9F"/>
    <w:multiLevelType w:val="multilevel"/>
    <w:tmpl w:val="2098C77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15C2764B"/>
    <w:multiLevelType w:val="hybridMultilevel"/>
    <w:tmpl w:val="F51A88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8E790B"/>
    <w:multiLevelType w:val="hybridMultilevel"/>
    <w:tmpl w:val="D9621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180343"/>
    <w:multiLevelType w:val="multilevel"/>
    <w:tmpl w:val="C21E7F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3F8D49C0"/>
    <w:multiLevelType w:val="hybridMultilevel"/>
    <w:tmpl w:val="186EB9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DE6222"/>
    <w:multiLevelType w:val="hybridMultilevel"/>
    <w:tmpl w:val="077A48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EB1D0D"/>
    <w:multiLevelType w:val="multilevel"/>
    <w:tmpl w:val="C21E7F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4B1768BD"/>
    <w:multiLevelType w:val="multilevel"/>
    <w:tmpl w:val="E118F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C13378F"/>
    <w:multiLevelType w:val="hybridMultilevel"/>
    <w:tmpl w:val="63809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5363F7F"/>
    <w:multiLevelType w:val="hybridMultilevel"/>
    <w:tmpl w:val="7B2A8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E0049F"/>
    <w:multiLevelType w:val="hybridMultilevel"/>
    <w:tmpl w:val="04FEB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B3287C"/>
    <w:multiLevelType w:val="hybridMultilevel"/>
    <w:tmpl w:val="97E257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BF21145"/>
    <w:multiLevelType w:val="hybridMultilevel"/>
    <w:tmpl w:val="70A29A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A851D7"/>
    <w:multiLevelType w:val="multilevel"/>
    <w:tmpl w:val="C21E7F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 w15:restartNumberingAfterBreak="0">
    <w:nsid w:val="6A6211C5"/>
    <w:multiLevelType w:val="multilevel"/>
    <w:tmpl w:val="FD568CB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73ED2941"/>
    <w:multiLevelType w:val="hybridMultilevel"/>
    <w:tmpl w:val="BE0677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42D35A2"/>
    <w:multiLevelType w:val="hybridMultilevel"/>
    <w:tmpl w:val="8A28A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7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C"/>
    <w:rsid w:val="00426ADE"/>
    <w:rsid w:val="00517954"/>
    <w:rsid w:val="005A2A4C"/>
    <w:rsid w:val="0085748C"/>
    <w:rsid w:val="00985445"/>
    <w:rsid w:val="00A37155"/>
    <w:rsid w:val="00A61CBE"/>
    <w:rsid w:val="00A95120"/>
    <w:rsid w:val="00C400BC"/>
    <w:rsid w:val="00D55CE0"/>
    <w:rsid w:val="00EC585E"/>
    <w:rsid w:val="00FC501C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F25A-2E5B-4B47-A7D1-E431305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(ССУЗ) "ЧКИПТиХП"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Владимировна</dc:creator>
  <cp:keywords/>
  <dc:description/>
  <cp:lastModifiedBy>Тингаева Елена Петровна</cp:lastModifiedBy>
  <cp:revision>2</cp:revision>
  <dcterms:created xsi:type="dcterms:W3CDTF">2019-04-04T06:39:00Z</dcterms:created>
  <dcterms:modified xsi:type="dcterms:W3CDTF">2019-04-04T06:39:00Z</dcterms:modified>
</cp:coreProperties>
</file>